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2"/>
          <w:szCs w:val="32"/>
        </w:rPr>
      </w:pPr>
    </w:p>
    <w:p>
      <w:pPr>
        <w:jc w:val="center"/>
        <w:rPr>
          <w:rFonts w:ascii="微软雅黑" w:hAnsi="微软雅黑" w:eastAsia="微软雅黑"/>
          <w:b/>
          <w:sz w:val="32"/>
          <w:szCs w:val="32"/>
        </w:rPr>
      </w:pPr>
    </w:p>
    <w:p>
      <w:pPr>
        <w:jc w:val="center"/>
        <w:rPr>
          <w:rFonts w:ascii="微软雅黑" w:hAnsi="微软雅黑" w:eastAsia="微软雅黑"/>
          <w:b/>
          <w:sz w:val="32"/>
          <w:szCs w:val="32"/>
        </w:rPr>
      </w:pPr>
    </w:p>
    <w:p>
      <w:pPr>
        <w:jc w:val="center"/>
        <w:rPr>
          <w:rFonts w:ascii="微软雅黑" w:hAnsi="微软雅黑" w:eastAsia="微软雅黑"/>
          <w:b/>
          <w:sz w:val="32"/>
          <w:szCs w:val="32"/>
        </w:rPr>
      </w:pPr>
      <w:r>
        <w:rPr>
          <w:rFonts w:hint="eastAsia" w:ascii="微软雅黑" w:hAnsi="微软雅黑" w:eastAsia="微软雅黑"/>
          <w:b/>
          <w:sz w:val="32"/>
          <w:szCs w:val="32"/>
        </w:rPr>
        <w:t>天津</w:t>
      </w:r>
      <w:r>
        <w:rPr>
          <w:rFonts w:hint="eastAsia" w:ascii="微软雅黑" w:hAnsi="微软雅黑" w:eastAsia="微软雅黑"/>
          <w:b/>
          <w:sz w:val="32"/>
          <w:szCs w:val="32"/>
          <w:lang w:eastAsia="zh-CN"/>
        </w:rPr>
        <w:t>中医药</w:t>
      </w:r>
      <w:r>
        <w:rPr>
          <w:rFonts w:hint="eastAsia" w:ascii="微软雅黑" w:hAnsi="微软雅黑" w:eastAsia="微软雅黑"/>
          <w:b/>
          <w:sz w:val="32"/>
          <w:szCs w:val="32"/>
        </w:rPr>
        <w:t>大学固定资产处置实施细则</w:t>
      </w:r>
    </w:p>
    <w:p>
      <w:pPr>
        <w:jc w:val="center"/>
        <w:rPr>
          <w:rFonts w:ascii="微软雅黑" w:hAnsi="微软雅黑" w:eastAsia="微软雅黑"/>
          <w:b/>
          <w:sz w:val="32"/>
          <w:szCs w:val="32"/>
        </w:rPr>
      </w:pP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第一条  为了加强学校国有资产管理，提高国有资产使用效率, 规范固定资产处置行为，根据《天津市市级事业单位国有资产管理暂行办法》（津</w:t>
      </w:r>
      <w:r>
        <w:rPr>
          <w:rFonts w:ascii="仿宋" w:hAnsi="仿宋" w:eastAsia="仿宋" w:cs="宋体"/>
          <w:color w:val="333333"/>
          <w:kern w:val="0"/>
          <w:sz w:val="28"/>
          <w:szCs w:val="28"/>
        </w:rPr>
        <w:t>财教〔201</w:t>
      </w:r>
      <w:r>
        <w:rPr>
          <w:rFonts w:hint="eastAsia" w:ascii="仿宋" w:hAnsi="仿宋" w:eastAsia="仿宋" w:cs="宋体"/>
          <w:color w:val="333333"/>
          <w:kern w:val="0"/>
          <w:sz w:val="28"/>
          <w:szCs w:val="28"/>
        </w:rPr>
        <w:t>3</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2</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）、《天津市市级行政事业单位国有资产处置管理暂行办法》（津</w:t>
      </w:r>
      <w:r>
        <w:rPr>
          <w:rFonts w:ascii="仿宋" w:hAnsi="仿宋" w:eastAsia="仿宋" w:cs="宋体"/>
          <w:color w:val="333333"/>
          <w:kern w:val="0"/>
          <w:sz w:val="28"/>
          <w:szCs w:val="28"/>
        </w:rPr>
        <w:t>财</w:t>
      </w:r>
      <w:r>
        <w:rPr>
          <w:rFonts w:hint="eastAsia" w:ascii="仿宋" w:hAnsi="仿宋" w:eastAsia="仿宋" w:cs="宋体"/>
          <w:color w:val="333333"/>
          <w:kern w:val="0"/>
          <w:sz w:val="28"/>
          <w:szCs w:val="28"/>
        </w:rPr>
        <w:t>会</w:t>
      </w:r>
      <w:r>
        <w:rPr>
          <w:rFonts w:ascii="仿宋" w:hAnsi="仿宋" w:eastAsia="仿宋" w:cs="宋体"/>
          <w:color w:val="333333"/>
          <w:kern w:val="0"/>
          <w:sz w:val="28"/>
          <w:szCs w:val="28"/>
        </w:rPr>
        <w:t>〔201</w:t>
      </w:r>
      <w:r>
        <w:rPr>
          <w:rFonts w:hint="eastAsia" w:ascii="仿宋" w:hAnsi="仿宋" w:eastAsia="仿宋" w:cs="宋体"/>
          <w:color w:val="333333"/>
          <w:kern w:val="0"/>
          <w:sz w:val="28"/>
          <w:szCs w:val="28"/>
        </w:rPr>
        <w:t>4</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36</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）、《天津市市级行政事业单位通用办公设备购置费预算标准》（津财会</w:t>
      </w:r>
      <w:r>
        <w:rPr>
          <w:rFonts w:ascii="仿宋" w:hAnsi="仿宋" w:eastAsia="仿宋" w:cs="宋体"/>
          <w:color w:val="333333"/>
          <w:kern w:val="0"/>
          <w:sz w:val="28"/>
          <w:szCs w:val="28"/>
        </w:rPr>
        <w:t>〔201</w:t>
      </w:r>
      <w:r>
        <w:rPr>
          <w:rFonts w:hint="eastAsia" w:ascii="仿宋" w:hAnsi="仿宋" w:eastAsia="仿宋" w:cs="宋体"/>
          <w:color w:val="333333"/>
          <w:kern w:val="0"/>
          <w:sz w:val="28"/>
          <w:szCs w:val="28"/>
        </w:rPr>
        <w:t>4</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66号附件1）、《天津市财政局 天津市教育委员会关于做好市属公办普通高校资产管理“放管服”工作的通知》（</w:t>
      </w:r>
      <w:r>
        <w:rPr>
          <w:rFonts w:ascii="仿宋" w:hAnsi="仿宋" w:eastAsia="仿宋" w:cs="宋体"/>
          <w:color w:val="333333"/>
          <w:kern w:val="0"/>
          <w:sz w:val="28"/>
          <w:szCs w:val="28"/>
        </w:rPr>
        <w:t>津财</w:t>
      </w:r>
      <w:r>
        <w:rPr>
          <w:rFonts w:hint="eastAsia" w:ascii="仿宋" w:hAnsi="仿宋" w:eastAsia="仿宋" w:cs="宋体"/>
          <w:color w:val="333333"/>
          <w:kern w:val="0"/>
          <w:sz w:val="28"/>
          <w:szCs w:val="28"/>
        </w:rPr>
        <w:t>会</w:t>
      </w:r>
      <w:r>
        <w:rPr>
          <w:rFonts w:ascii="仿宋" w:hAnsi="仿宋" w:eastAsia="仿宋" w:cs="宋体"/>
          <w:color w:val="333333"/>
          <w:kern w:val="0"/>
          <w:sz w:val="28"/>
          <w:szCs w:val="28"/>
        </w:rPr>
        <w:t>〔201</w:t>
      </w:r>
      <w:r>
        <w:rPr>
          <w:rFonts w:hint="eastAsia" w:ascii="仿宋" w:hAnsi="仿宋" w:eastAsia="仿宋" w:cs="宋体"/>
          <w:color w:val="333333"/>
          <w:kern w:val="0"/>
          <w:sz w:val="28"/>
          <w:szCs w:val="28"/>
        </w:rPr>
        <w:t>7</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184</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）、《天津市财政局关于印发市级行政事业单位国有资产处置有关事项工作流程和操作指引的通知》（</w:t>
      </w:r>
      <w:r>
        <w:rPr>
          <w:rFonts w:ascii="仿宋" w:hAnsi="仿宋" w:eastAsia="仿宋" w:cs="宋体"/>
          <w:color w:val="333333"/>
          <w:kern w:val="0"/>
          <w:sz w:val="28"/>
          <w:szCs w:val="28"/>
        </w:rPr>
        <w:t>津财</w:t>
      </w:r>
      <w:r>
        <w:rPr>
          <w:rFonts w:hint="eastAsia" w:ascii="仿宋" w:hAnsi="仿宋" w:eastAsia="仿宋" w:cs="宋体"/>
          <w:color w:val="333333"/>
          <w:kern w:val="0"/>
          <w:sz w:val="28"/>
          <w:szCs w:val="28"/>
        </w:rPr>
        <w:t>会</w:t>
      </w:r>
      <w:r>
        <w:rPr>
          <w:rFonts w:ascii="仿宋" w:hAnsi="仿宋" w:eastAsia="仿宋" w:cs="宋体"/>
          <w:color w:val="333333"/>
          <w:kern w:val="0"/>
          <w:sz w:val="28"/>
          <w:szCs w:val="28"/>
        </w:rPr>
        <w:t>〔201</w:t>
      </w:r>
      <w:r>
        <w:rPr>
          <w:rFonts w:hint="eastAsia" w:ascii="仿宋" w:hAnsi="仿宋" w:eastAsia="仿宋" w:cs="宋体"/>
          <w:color w:val="333333"/>
          <w:kern w:val="0"/>
          <w:sz w:val="28"/>
          <w:szCs w:val="28"/>
        </w:rPr>
        <w:t>7</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190</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）、《市教委关于转发市机关事务管理局〈关于确定天津市公共机构废旧商品回收单位的通知〉的通知》（</w:t>
      </w:r>
      <w:r>
        <w:rPr>
          <w:rFonts w:ascii="仿宋" w:hAnsi="仿宋" w:eastAsia="仿宋" w:cs="宋体"/>
          <w:color w:val="333333"/>
          <w:kern w:val="0"/>
          <w:sz w:val="28"/>
          <w:szCs w:val="28"/>
        </w:rPr>
        <w:t>津教委后函〔2017〕</w:t>
      </w:r>
      <w:r>
        <w:rPr>
          <w:rFonts w:hint="eastAsia" w:ascii="仿宋" w:hAnsi="仿宋" w:eastAsia="仿宋" w:cs="宋体"/>
          <w:color w:val="333333"/>
          <w:kern w:val="0"/>
          <w:sz w:val="28"/>
          <w:szCs w:val="28"/>
        </w:rPr>
        <w:t>161</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市教委关于</w:t>
      </w:r>
      <w:r>
        <w:rPr>
          <w:rFonts w:hint="eastAsia" w:ascii="仿宋" w:hAnsi="仿宋" w:eastAsia="仿宋" w:cs="宋体"/>
          <w:color w:val="333333"/>
          <w:kern w:val="0"/>
          <w:sz w:val="28"/>
          <w:szCs w:val="28"/>
        </w:rPr>
        <w:t>修订天津市教委系统国有资产使用和处置实施细则的通知》（</w:t>
      </w:r>
      <w:r>
        <w:rPr>
          <w:rFonts w:ascii="仿宋" w:hAnsi="仿宋" w:eastAsia="仿宋" w:cs="宋体"/>
          <w:color w:val="333333"/>
          <w:kern w:val="0"/>
          <w:sz w:val="28"/>
          <w:szCs w:val="28"/>
        </w:rPr>
        <w:t>津教委〔2018〕</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）（以下简称“《通知》”）的有关规定，结合学校实际情况，制定本实施细则。</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第二条  学校的固定资产包括土地、房屋及构筑物、通用设备、专用设备、文物和陈列品、图书和家具、用具、装具。</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第三条  学校固定资产处置方式包括报废、出售、出让、转让、无偿调拨（划转）、对外捐赠、资产置换和资产报损。</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（一）资产报废，是指按有关规定或经有关部门、专家鉴定，对已不能继续使用的资产，进行产权注销的资产处置行为。</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（二）资产出售、出让、转让，</w:t>
      </w:r>
      <w:r>
        <w:rPr>
          <w:rFonts w:ascii="仿宋" w:hAnsi="仿宋" w:eastAsia="仿宋" w:cs="宋体"/>
          <w:color w:val="333333"/>
          <w:kern w:val="0"/>
          <w:sz w:val="28"/>
          <w:szCs w:val="28"/>
        </w:rPr>
        <w:t>指变更市级行政事业单位国有资产所有权或占有、使用权并取得相应收益的行为。</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（三）资产无偿调拨（划转），</w:t>
      </w:r>
      <w:r>
        <w:rPr>
          <w:rFonts w:ascii="仿宋" w:hAnsi="仿宋" w:eastAsia="仿宋" w:cs="宋体"/>
          <w:color w:val="333333"/>
          <w:kern w:val="0"/>
          <w:sz w:val="28"/>
          <w:szCs w:val="28"/>
        </w:rPr>
        <w:t>指在不改变国有资产性质的前提下，以无偿转让的方式变更国有资产占有、使用权的行为。</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（四）资产对外捐赠，指自愿无偿将其有权处置的合法财产赠与合法的受赠人的行为，包括实物资产捐赠、无形资产捐赠和货币性资产捐赠等。</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（五）资产置换，指市级行政事业单位与其他单位以非货币性资产为主进行的交换。这种交换不涉及或只涉及少量的货币性资产（即补价）。</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（六）资产报损，指由于发生呆账损失、非正常损失等原因，按有关规定对资产损失进行产权注销的资产处置行为。</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第四条  固定资产处置的基本原则</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内部调剂与修旧利废原则。固定资产应在学校形成调剂机制，提高资产的使用效率；凡固定资产出现局部损坏尚未达到报废标准的，应由资产分管部门会同资产使用部门按学校确定的分工对其进行修复，重新使用。</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（二）权限与程序原则。固定资产处置必须严格按本细则规定的权限和程序处置，未经学校授权的任何个人和部门均不得擅自处置或不按规定程序处置。</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（三）公开、公正、公平原则。应严格按照固定资产处置程序，公开处理。</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第五条  固定资产处置</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（一）固定资产处置流程</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1、资产使用部门申报。</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sz w:val="28"/>
          <w:szCs w:val="28"/>
        </w:rPr>
        <w:t>资产使用部门拟</w:t>
      </w:r>
      <w:r>
        <w:rPr>
          <w:rFonts w:hint="eastAsia" w:ascii="仿宋" w:hAnsi="仿宋" w:eastAsia="仿宋" w:cs="宋体"/>
          <w:color w:val="333333"/>
          <w:kern w:val="0"/>
          <w:sz w:val="28"/>
          <w:szCs w:val="28"/>
        </w:rPr>
        <w:t>对固定资产进行处置，应向各资产分管部门提出申请，同时邀请3名专家对报废资产进行鉴定。</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cs="宋体"/>
          <w:color w:val="333333"/>
          <w:kern w:val="0"/>
          <w:sz w:val="28"/>
          <w:szCs w:val="28"/>
        </w:rPr>
        <w:t>2、报废资产实物核实与校内审核。</w:t>
      </w:r>
    </w:p>
    <w:p>
      <w:pPr>
        <w:adjustRightIn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各资产分管部门进行审核，包括资产实物和权属证明。核实后由各资产分管部门会同财务处、审计处等相关部门联签审核并提交分管校领导审批后，形成初步处置意见。</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如为报废处置，资产分管部门应对办公设备家具按照《天津市市级行政事业单位通用办公设备购置费预算标准》进行使用年限审核；同时组织召开资产处置鉴定会，对需要报废资产进行审核鉴定并出具鉴定意见，特殊资产应委托第三方专业鉴定机构出具鉴定报告。</w:t>
      </w:r>
    </w:p>
    <w:p>
      <w:pPr>
        <w:adjustRightIn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3、提交“三重一大”会议审议。</w:t>
      </w:r>
    </w:p>
    <w:p>
      <w:pPr>
        <w:adjustRightInd w:val="0"/>
        <w:snapToGrid w:val="0"/>
        <w:spacing w:line="560" w:lineRule="exact"/>
        <w:ind w:firstLine="560" w:firstLineChars="200"/>
        <w:rPr>
          <w:rFonts w:hint="eastAsia" w:ascii="仿宋" w:hAnsi="仿宋" w:eastAsia="仿宋" w:cs="宋体"/>
          <w:color w:val="333333"/>
          <w:kern w:val="0"/>
          <w:sz w:val="28"/>
          <w:szCs w:val="28"/>
          <w:lang w:val="en-US" w:eastAsia="zh-CN"/>
        </w:rPr>
      </w:pPr>
      <w:r>
        <w:rPr>
          <w:rFonts w:hint="eastAsia" w:ascii="仿宋" w:hAnsi="仿宋" w:eastAsia="仿宋" w:cs="宋体"/>
          <w:kern w:val="0"/>
          <w:sz w:val="28"/>
          <w:szCs w:val="28"/>
        </w:rPr>
        <w:t>各资产分管部门将所需处置的资产情况</w:t>
      </w:r>
      <w:r>
        <w:rPr>
          <w:rFonts w:hint="eastAsia" w:ascii="仿宋" w:hAnsi="仿宋" w:eastAsia="仿宋" w:cs="宋体"/>
          <w:color w:val="333333"/>
          <w:kern w:val="0"/>
          <w:sz w:val="28"/>
          <w:szCs w:val="28"/>
        </w:rPr>
        <w:t>申请“三重一大”会议审议议题，并由资产分管部门对处置事项的具体情况进行汇报</w:t>
      </w:r>
      <w:r>
        <w:rPr>
          <w:rFonts w:hint="eastAsia" w:ascii="仿宋" w:hAnsi="仿宋" w:eastAsia="仿宋" w:cs="宋体"/>
          <w:color w:val="333333"/>
          <w:kern w:val="0"/>
          <w:sz w:val="28"/>
          <w:szCs w:val="28"/>
          <w:lang w:val="en-US" w:eastAsia="zh-CN"/>
        </w:rPr>
        <w:t>,并取得“三重一大”会议纪要。</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4、汇总材料并上报市教委</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lang w:eastAsia="zh-CN"/>
        </w:rPr>
        <w:t>国有资产管理处整理规定材料，</w:t>
      </w:r>
      <w:r>
        <w:rPr>
          <w:rFonts w:hint="eastAsia" w:ascii="仿宋" w:hAnsi="仿宋" w:eastAsia="仿宋" w:cs="宋体"/>
          <w:color w:val="333333"/>
          <w:kern w:val="0"/>
          <w:sz w:val="28"/>
          <w:szCs w:val="28"/>
        </w:rPr>
        <w:t>根据拟处置资产类别及金额等具体情况，</w:t>
      </w:r>
      <w:r>
        <w:rPr>
          <w:rFonts w:hint="eastAsia" w:ascii="仿宋" w:hAnsi="仿宋" w:eastAsia="仿宋" w:cs="宋体"/>
          <w:color w:val="333333"/>
          <w:kern w:val="0"/>
          <w:sz w:val="28"/>
          <w:szCs w:val="28"/>
          <w:lang w:eastAsia="zh-CN"/>
        </w:rPr>
        <w:t>国有资产管理处</w:t>
      </w:r>
      <w:r>
        <w:rPr>
          <w:rFonts w:hint="eastAsia" w:ascii="仿宋" w:hAnsi="仿宋" w:eastAsia="仿宋" w:cs="宋体"/>
          <w:color w:val="333333"/>
          <w:kern w:val="0"/>
          <w:sz w:val="28"/>
          <w:szCs w:val="28"/>
        </w:rPr>
        <w:t>将所有材料汇总后上报市教</w:t>
      </w:r>
      <w:r>
        <w:rPr>
          <w:rFonts w:hint="eastAsia" w:ascii="仿宋" w:hAnsi="仿宋" w:eastAsia="仿宋" w:cs="宋体"/>
          <w:kern w:val="0"/>
          <w:sz w:val="28"/>
          <w:szCs w:val="28"/>
        </w:rPr>
        <w:t>委审批（备案）</w:t>
      </w:r>
      <w:r>
        <w:rPr>
          <w:rFonts w:hint="eastAsia" w:ascii="仿宋" w:hAnsi="仿宋" w:eastAsia="仿宋" w:cs="宋体"/>
          <w:color w:val="333333"/>
          <w:kern w:val="0"/>
          <w:sz w:val="28"/>
          <w:szCs w:val="28"/>
        </w:rPr>
        <w:t>。</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（二）固定资产处置所需材料</w:t>
      </w:r>
    </w:p>
    <w:p>
      <w:pPr>
        <w:numPr>
          <w:ilvl w:val="0"/>
          <w:numId w:val="1"/>
        </w:numPr>
        <w:spacing w:line="56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资产报废</w:t>
      </w:r>
    </w:p>
    <w:p>
      <w:pPr>
        <w:adjustRightInd w:val="0"/>
        <w:spacing w:line="560" w:lineRule="exact"/>
        <w:ind w:firstLine="560" w:firstLineChars="200"/>
        <w:rPr>
          <w:rFonts w:ascii="仿宋" w:hAnsi="仿宋" w:eastAsia="仿宋" w:cs="宋体"/>
          <w:kern w:val="0"/>
          <w:sz w:val="28"/>
          <w:szCs w:val="28"/>
        </w:rPr>
      </w:pPr>
      <w:r>
        <w:rPr>
          <w:rFonts w:hint="eastAsia" w:ascii="仿宋" w:hAnsi="仿宋" w:eastAsia="仿宋" w:cs="宋体"/>
          <w:color w:val="333333"/>
          <w:kern w:val="0"/>
          <w:sz w:val="28"/>
          <w:szCs w:val="28"/>
        </w:rPr>
        <w:t>（1）内部审批手续及价值凭证</w:t>
      </w:r>
    </w:p>
    <w:p>
      <w:pPr>
        <w:adjustRightIn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（2）资产报废鉴定意见。根据</w:t>
      </w:r>
      <w:r>
        <w:rPr>
          <w:rFonts w:hint="eastAsia" w:ascii="仿宋" w:hAnsi="仿宋" w:eastAsia="仿宋" w:cs="宋体"/>
          <w:color w:val="333333"/>
          <w:kern w:val="0"/>
          <w:sz w:val="28"/>
          <w:szCs w:val="28"/>
        </w:rPr>
        <w:t>《通知》第三十四条规定，如市场暂无明确的、公认的第三方鉴定机构，可由单位内部组织专家鉴定程序予以替代。</w:t>
      </w:r>
      <w:r>
        <w:rPr>
          <w:rFonts w:hint="eastAsia" w:ascii="仿宋" w:hAnsi="仿宋" w:eastAsia="仿宋" w:cs="宋体"/>
          <w:kern w:val="0"/>
          <w:sz w:val="28"/>
          <w:szCs w:val="28"/>
        </w:rPr>
        <w:t>各资产分管部门可自行组织3名校外专家（具有副高级及以上专业技术职务）对报废资产进行鉴定，形成专家鉴定意见。</w:t>
      </w:r>
    </w:p>
    <w:p>
      <w:pPr>
        <w:spacing w:line="560" w:lineRule="exact"/>
        <w:ind w:firstLine="700" w:firstLineChars="25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2、资产出售、出让、转让</w:t>
      </w:r>
    </w:p>
    <w:p>
      <w:pPr>
        <w:adjustRightInd w:val="0"/>
        <w:spacing w:line="560" w:lineRule="exact"/>
        <w:ind w:firstLine="560" w:firstLineChars="200"/>
        <w:rPr>
          <w:rFonts w:ascii="仿宋" w:hAnsi="仿宋" w:eastAsia="仿宋" w:cs="宋体"/>
          <w:kern w:val="0"/>
          <w:sz w:val="28"/>
          <w:szCs w:val="28"/>
        </w:rPr>
      </w:pPr>
      <w:r>
        <w:rPr>
          <w:rFonts w:hint="eastAsia" w:ascii="仿宋" w:hAnsi="仿宋" w:eastAsia="仿宋" w:cs="宋体"/>
          <w:color w:val="333333"/>
          <w:kern w:val="0"/>
          <w:sz w:val="28"/>
          <w:szCs w:val="28"/>
        </w:rPr>
        <w:t>（1）内部审批手续及价值凭证</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（2）出售、出让、转让资产方案（包括资产的基本情况，处置的原因、方式）；采取非公开协议方式处置的，提交出售、出让、转让合同草案；</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（3）中介机构出具的出售、出让、转让资产评估报告；</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（4）行政事业单位国有资产评估项目核准表或备案表；</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（5）处置行为的法律意见书；</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（6）审批部门要求的其他相关材料。</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3、资产无偿调拨（划转）</w:t>
      </w:r>
    </w:p>
    <w:p>
      <w:pPr>
        <w:adjustRightInd w:val="0"/>
        <w:spacing w:line="560" w:lineRule="exact"/>
        <w:ind w:firstLine="560" w:firstLineChars="200"/>
        <w:rPr>
          <w:rFonts w:ascii="仿宋" w:hAnsi="仿宋" w:eastAsia="仿宋" w:cs="宋体"/>
          <w:kern w:val="0"/>
          <w:sz w:val="28"/>
          <w:szCs w:val="28"/>
        </w:rPr>
      </w:pPr>
      <w:r>
        <w:rPr>
          <w:rFonts w:hint="eastAsia" w:ascii="仿宋" w:hAnsi="仿宋" w:eastAsia="仿宋" w:cs="宋体"/>
          <w:color w:val="333333"/>
          <w:kern w:val="0"/>
          <w:sz w:val="28"/>
          <w:szCs w:val="28"/>
        </w:rPr>
        <w:t>（1）内部审批手续及价值凭证</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（2）因单位撤销、合并、分离以及隶属关系调整而移交资产的，需提供撤销、合并、分立以及隶属关系调整的批文、资产清查工作报告。</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（3）跨市级主管部门资产无偿调拨（划转），提交接收方主管部门同意接受的有关文件；跨级次资产无偿调拨（划转），即无偿调拨（划转）给区级单位，提交区级主管部门和区财政局同意接受的相关文件。</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4、资产对外捐赠</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（1）对外捐赠的书面申请文件</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（2）捐赠报告，包括：捐赠事由、途径、方式、责任人、资产构成及其数额、交接程序等；</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（3）捐赠单位出具的捐赠事项对本单位财务状况和业务活动影响的分析报告，使用货币资金对外捐赠的，应提供货币资金的来源说明等；</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（4）主管部门、市级行政事业单位决定捐赠事项的有关文件；</w:t>
      </w:r>
    </w:p>
    <w:p>
      <w:pPr>
        <w:spacing w:line="560" w:lineRule="exact"/>
        <w:ind w:firstLine="560" w:firstLineChars="200"/>
        <w:jc w:val="left"/>
        <w:rPr>
          <w:rFonts w:ascii="仿宋" w:hAnsi="仿宋" w:eastAsia="仿宋"/>
          <w:color w:val="333333"/>
          <w:sz w:val="28"/>
          <w:szCs w:val="28"/>
        </w:rPr>
      </w:pPr>
      <w:r>
        <w:rPr>
          <w:rFonts w:hint="eastAsia" w:ascii="仿宋" w:hAnsi="仿宋" w:eastAsia="仿宋"/>
          <w:color w:val="333333"/>
          <w:sz w:val="28"/>
          <w:szCs w:val="28"/>
        </w:rPr>
        <w:t>（5）能够证明捐赠资产价值的有效凭证及权属证明，如购货发票或收据、工程决算副本、记账凭证、固定资产卡片及产权证明等凭据的复印件（加盖单位公章）；</w:t>
      </w:r>
    </w:p>
    <w:p>
      <w:pPr>
        <w:spacing w:line="560" w:lineRule="exact"/>
        <w:ind w:firstLine="560" w:firstLineChars="200"/>
        <w:jc w:val="left"/>
        <w:rPr>
          <w:rFonts w:ascii="仿宋" w:hAnsi="仿宋" w:eastAsia="仿宋"/>
          <w:color w:val="333333"/>
          <w:sz w:val="28"/>
          <w:szCs w:val="28"/>
        </w:rPr>
      </w:pPr>
      <w:r>
        <w:rPr>
          <w:rFonts w:hint="eastAsia" w:ascii="仿宋" w:hAnsi="仿宋" w:eastAsia="仿宋"/>
          <w:color w:val="333333"/>
          <w:sz w:val="28"/>
          <w:szCs w:val="28"/>
        </w:rPr>
        <w:t>（6）市财政局和主管部门要求报送的其他材料。　</w:t>
      </w:r>
    </w:p>
    <w:p>
      <w:pPr>
        <w:spacing w:line="560" w:lineRule="exact"/>
        <w:ind w:firstLine="560" w:firstLineChars="200"/>
        <w:jc w:val="left"/>
        <w:rPr>
          <w:rFonts w:ascii="仿宋" w:hAnsi="仿宋" w:eastAsia="仿宋" w:cs="宋体"/>
          <w:color w:val="333333"/>
          <w:kern w:val="0"/>
          <w:sz w:val="28"/>
          <w:szCs w:val="28"/>
        </w:rPr>
      </w:pPr>
      <w:r>
        <w:rPr>
          <w:rFonts w:hint="eastAsia" w:ascii="仿宋" w:hAnsi="仿宋" w:eastAsia="仿宋"/>
          <w:color w:val="333333"/>
          <w:sz w:val="28"/>
          <w:szCs w:val="28"/>
        </w:rPr>
        <w:t>（7）实际发生的对外捐赠，属于公益性捐赠的应当依据市级财政部门统一印制的公益事业捐赠统一票据确认；对无法索取财政部门统一印制的公益事业捐赠统一票据的，应当依据所赠方所在地街道、乡镇等集成政府组织出具的证明确认。　</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5、资产置换</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（1）置换资产的书面申请文件；</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（2）置换资产价值凭证及权属证明，如购货发票或收据、工程决算副本、土地来源证明、国有土地使用权证、房屋所有权证、建设用地批准书、股权证等凭据的复印件（加盖单位公章）；</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（3）对方单位拟用于置换资产的基本情况说明、是否已被设置为担保物等；</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（4）双方草签的置换协议；</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（5）对方单位的法人证书或营业执照的复印件（加盖单位公章）；</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（6）近期的财务报告；</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（7）市财政局和主管部门要求报送的其他材料。</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6、资产报损</w:t>
      </w:r>
    </w:p>
    <w:p>
      <w:pPr>
        <w:pStyle w:val="5"/>
        <w:shd w:val="clear" w:color="auto" w:fill="FFFFFF"/>
        <w:spacing w:before="0" w:beforeAutospacing="0" w:after="0" w:afterAutospacing="0" w:line="560" w:lineRule="exact"/>
        <w:ind w:firstLine="560" w:firstLineChars="200"/>
        <w:rPr>
          <w:rFonts w:ascii="仿宋" w:hAnsi="仿宋" w:eastAsia="仿宋"/>
          <w:color w:val="333333"/>
          <w:sz w:val="28"/>
          <w:szCs w:val="28"/>
        </w:rPr>
      </w:pPr>
      <w:r>
        <w:rPr>
          <w:rFonts w:hint="eastAsia" w:ascii="仿宋" w:hAnsi="仿宋" w:eastAsia="仿宋"/>
          <w:color w:val="333333"/>
          <w:sz w:val="28"/>
          <w:szCs w:val="28"/>
        </w:rPr>
        <w:t>（1）报损申请文件；</w:t>
      </w:r>
    </w:p>
    <w:p>
      <w:pPr>
        <w:pStyle w:val="5"/>
        <w:shd w:val="clear" w:color="auto" w:fill="FFFFFF"/>
        <w:spacing w:before="0" w:beforeAutospacing="0" w:after="0" w:afterAutospacing="0" w:line="560" w:lineRule="exact"/>
        <w:ind w:firstLine="560" w:firstLineChars="200"/>
        <w:rPr>
          <w:rFonts w:ascii="仿宋" w:hAnsi="仿宋" w:eastAsia="仿宋"/>
          <w:color w:val="333333"/>
          <w:sz w:val="28"/>
          <w:szCs w:val="28"/>
        </w:rPr>
      </w:pPr>
      <w:r>
        <w:rPr>
          <w:rFonts w:hint="eastAsia" w:ascii="仿宋" w:hAnsi="仿宋" w:eastAsia="仿宋"/>
          <w:color w:val="333333"/>
          <w:sz w:val="28"/>
          <w:szCs w:val="28"/>
        </w:rPr>
        <w:t>（2）能够证明盘亏、毁损以及非正常损失资产的价值及权属证明，如购货发票或收据、工程决算副本、房屋所有权证、记账凭证、固定资产卡片、盘点表等凭据的复印件（加盖单位公章）；</w:t>
      </w:r>
    </w:p>
    <w:p>
      <w:pPr>
        <w:pStyle w:val="5"/>
        <w:shd w:val="clear" w:color="auto" w:fill="FFFFFF"/>
        <w:spacing w:before="0" w:beforeAutospacing="0" w:after="0" w:afterAutospacing="0" w:line="560" w:lineRule="exact"/>
        <w:ind w:firstLine="560" w:firstLineChars="200"/>
        <w:rPr>
          <w:rFonts w:ascii="仿宋" w:hAnsi="仿宋" w:eastAsia="仿宋"/>
          <w:color w:val="333333"/>
          <w:sz w:val="28"/>
          <w:szCs w:val="28"/>
        </w:rPr>
      </w:pPr>
      <w:r>
        <w:rPr>
          <w:rFonts w:hint="eastAsia" w:ascii="仿宋" w:hAnsi="仿宋" w:eastAsia="仿宋"/>
          <w:color w:val="333333"/>
          <w:sz w:val="28"/>
          <w:szCs w:val="28"/>
        </w:rPr>
        <w:t>（3）报损国有资产价值清单；</w:t>
      </w:r>
    </w:p>
    <w:p>
      <w:pPr>
        <w:pStyle w:val="5"/>
        <w:shd w:val="clear" w:color="auto" w:fill="FFFFFF"/>
        <w:spacing w:before="0" w:beforeAutospacing="0" w:after="0" w:afterAutospacing="0" w:line="560" w:lineRule="exact"/>
        <w:ind w:firstLine="560" w:firstLineChars="200"/>
        <w:rPr>
          <w:rFonts w:ascii="仿宋" w:hAnsi="仿宋" w:eastAsia="仿宋"/>
          <w:color w:val="333333"/>
          <w:sz w:val="28"/>
          <w:szCs w:val="28"/>
        </w:rPr>
      </w:pPr>
      <w:r>
        <w:rPr>
          <w:rFonts w:hint="eastAsia" w:ascii="仿宋" w:hAnsi="仿宋" w:eastAsia="仿宋"/>
          <w:color w:val="333333"/>
          <w:sz w:val="28"/>
          <w:szCs w:val="28"/>
        </w:rPr>
        <w:t>（4）报损国有资产鉴定或评估报告</w:t>
      </w:r>
    </w:p>
    <w:p>
      <w:pPr>
        <w:pStyle w:val="5"/>
        <w:shd w:val="clear" w:color="auto" w:fill="FFFFFF"/>
        <w:spacing w:before="0" w:beforeAutospacing="0" w:after="0" w:afterAutospacing="0" w:line="560" w:lineRule="exact"/>
        <w:ind w:firstLine="560" w:firstLineChars="200"/>
        <w:rPr>
          <w:rFonts w:ascii="仿宋" w:hAnsi="仿宋" w:eastAsia="仿宋"/>
          <w:color w:val="333333"/>
          <w:sz w:val="28"/>
          <w:szCs w:val="28"/>
        </w:rPr>
      </w:pPr>
      <w:r>
        <w:rPr>
          <w:rFonts w:hint="eastAsia" w:ascii="仿宋" w:hAnsi="仿宋" w:eastAsia="仿宋"/>
          <w:color w:val="333333"/>
          <w:sz w:val="28"/>
          <w:szCs w:val="28"/>
        </w:rPr>
        <w:t>（5）非正常损失责任事故的鉴定文件及对责任者的处理文件；</w:t>
      </w:r>
    </w:p>
    <w:p>
      <w:pPr>
        <w:pStyle w:val="5"/>
        <w:shd w:val="clear" w:color="auto" w:fill="FFFFFF"/>
        <w:spacing w:before="0" w:beforeAutospacing="0" w:after="0" w:afterAutospacing="0" w:line="560" w:lineRule="exact"/>
        <w:ind w:firstLine="560" w:firstLineChars="200"/>
        <w:rPr>
          <w:rFonts w:ascii="仿宋" w:hAnsi="仿宋" w:eastAsia="仿宋"/>
          <w:color w:val="333333"/>
          <w:sz w:val="28"/>
          <w:szCs w:val="28"/>
        </w:rPr>
      </w:pPr>
      <w:r>
        <w:rPr>
          <w:rFonts w:hint="eastAsia" w:ascii="仿宋" w:hAnsi="仿宋" w:eastAsia="仿宋"/>
          <w:color w:val="333333"/>
          <w:sz w:val="28"/>
          <w:szCs w:val="28"/>
        </w:rPr>
        <w:t>（6）因房屋拆除等原因需办理资产核销手续的，提交相关职能部门的房屋拆除批复文件、建设项目拆建立项文件、双方签订的房屋拆迁补偿协议；</w:t>
      </w:r>
    </w:p>
    <w:p>
      <w:pPr>
        <w:pStyle w:val="5"/>
        <w:shd w:val="clear" w:color="auto" w:fill="FFFFFF"/>
        <w:spacing w:before="0" w:beforeAutospacing="0" w:after="0" w:afterAutospacing="0" w:line="560" w:lineRule="exact"/>
        <w:ind w:firstLine="560" w:firstLineChars="200"/>
        <w:rPr>
          <w:rFonts w:ascii="仿宋" w:hAnsi="仿宋" w:eastAsia="仿宋" w:cs="Times New Roman"/>
          <w:color w:val="333333"/>
          <w:kern w:val="2"/>
          <w:sz w:val="28"/>
          <w:szCs w:val="28"/>
        </w:rPr>
      </w:pPr>
      <w:r>
        <w:rPr>
          <w:rFonts w:hint="eastAsia" w:ascii="仿宋" w:hAnsi="仿宋" w:eastAsia="仿宋" w:cs="Times New Roman"/>
          <w:color w:val="333333"/>
          <w:kern w:val="2"/>
          <w:sz w:val="28"/>
          <w:szCs w:val="28"/>
        </w:rPr>
        <w:t>（7）市财政局和主管部门要求报送的其他材料。</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（三）资产分管部门实施资产处置及账目核销处理。</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待上级主管部门对处置事项批复后，由各资产分管部门依据申请的处置类型实施资产实物处置；处置后，处置资产接收方给学校出具接收材料（包括接收凭证和处置残值）。资产分管部门</w:t>
      </w:r>
      <w:r>
        <w:rPr>
          <w:rFonts w:hint="eastAsia" w:ascii="仿宋" w:hAnsi="仿宋" w:eastAsia="仿宋" w:cs="宋体"/>
          <w:color w:val="333333"/>
          <w:kern w:val="0"/>
          <w:sz w:val="28"/>
          <w:szCs w:val="28"/>
          <w:lang w:eastAsia="zh-CN"/>
        </w:rPr>
        <w:t>与财务处同时销账</w:t>
      </w:r>
      <w:r>
        <w:rPr>
          <w:rFonts w:hint="eastAsia" w:ascii="仿宋" w:hAnsi="仿宋" w:eastAsia="仿宋" w:cs="宋体"/>
          <w:color w:val="333333"/>
          <w:kern w:val="0"/>
          <w:sz w:val="28"/>
          <w:szCs w:val="28"/>
        </w:rPr>
        <w:t>。</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如为报废处置，应由资产分管部门联系回收公司统一进行资产处置，各使用部门不得擅自处置。根据《市教委关于转发市机关事务管理局〈关于确定天津市公共机构废旧商品回收单位的通知〉的通知》（</w:t>
      </w:r>
      <w:r>
        <w:rPr>
          <w:rFonts w:ascii="仿宋" w:hAnsi="仿宋" w:eastAsia="仿宋" w:cs="宋体"/>
          <w:color w:val="333333"/>
          <w:kern w:val="0"/>
          <w:sz w:val="28"/>
          <w:szCs w:val="28"/>
        </w:rPr>
        <w:t>津教委后函〔2017〕</w:t>
      </w:r>
      <w:r>
        <w:rPr>
          <w:rFonts w:hint="eastAsia" w:ascii="仿宋" w:hAnsi="仿宋" w:eastAsia="仿宋" w:cs="宋体"/>
          <w:color w:val="333333"/>
          <w:kern w:val="0"/>
          <w:sz w:val="28"/>
          <w:szCs w:val="28"/>
        </w:rPr>
        <w:t>161</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）有关规定，各资产分管部门</w:t>
      </w:r>
      <w:r>
        <w:rPr>
          <w:rFonts w:ascii="仿宋" w:hAnsi="仿宋" w:eastAsia="仿宋" w:cs="宋体"/>
          <w:color w:val="333333"/>
          <w:kern w:val="0"/>
          <w:sz w:val="28"/>
          <w:szCs w:val="28"/>
        </w:rPr>
        <w:t>使用“天津市公共机构废旧商品回收利用系统（APP）”</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由中标企业统一回收。</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（四）处置收入上缴</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处置后残值收入由各资产分管部门上交至财务处或由资产接收方直接打入学校对公账户。资产分管部门将处置资产接收方出具的接收材料、会计记账凭证复印件上交至</w:t>
      </w:r>
      <w:r>
        <w:rPr>
          <w:rFonts w:hint="eastAsia" w:ascii="仿宋" w:hAnsi="仿宋" w:eastAsia="仿宋" w:cs="宋体"/>
          <w:color w:val="333333"/>
          <w:kern w:val="0"/>
          <w:sz w:val="28"/>
          <w:szCs w:val="28"/>
          <w:lang w:eastAsia="zh-CN"/>
        </w:rPr>
        <w:t>国有资产管理处</w:t>
      </w:r>
      <w:r>
        <w:rPr>
          <w:rFonts w:hint="eastAsia" w:ascii="仿宋" w:hAnsi="仿宋" w:eastAsia="仿宋" w:cs="宋体"/>
          <w:color w:val="333333"/>
          <w:kern w:val="0"/>
          <w:sz w:val="28"/>
          <w:szCs w:val="28"/>
        </w:rPr>
        <w:t>。</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学校报废处置收入将依据《天津市财政局</w:t>
      </w:r>
      <w:r>
        <w:rPr>
          <w:rFonts w:ascii="仿宋" w:hAnsi="仿宋" w:eastAsia="仿宋" w:cs="宋体"/>
          <w:color w:val="333333"/>
          <w:kern w:val="0"/>
          <w:sz w:val="28"/>
          <w:szCs w:val="28"/>
        </w:rPr>
        <w:t>天津市教育委员会关于做好市属公办普通高校资产管理</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放管服</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工作的通知</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津财会〔2017〕</w:t>
      </w:r>
      <w:r>
        <w:rPr>
          <w:rFonts w:hint="eastAsia" w:ascii="仿宋" w:hAnsi="仿宋" w:eastAsia="仿宋" w:cs="宋体"/>
          <w:color w:val="333333"/>
          <w:kern w:val="0"/>
          <w:sz w:val="28"/>
          <w:szCs w:val="28"/>
        </w:rPr>
        <w:t>184</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）文件要求，留归学校使用，纳入单位预算，统一核算，统一管理。</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按规定上缴财政的处置收入，按照政府非税收入管理和财政国库收缴管理的规定，实行“收支两条线”管理，上缴市级国库，纳入财政预算管理。各资产分管部门上缴处置收入时，应缴纳的税款和所发生的税金、评估费、技术鉴定费、交易手续费、拍卖佣金等相关费用，在收入中直接抵扣。抵扣后的净额按照政府非税收入收缴管理有关规定上缴市级国库。</w:t>
      </w:r>
    </w:p>
    <w:p>
      <w:pPr>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第六条  资产处置价值审核、备案标准</w:t>
      </w:r>
    </w:p>
    <w:p>
      <w:pPr>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根据《天津市财政局天津市教育委员会关于做好市属公办普通高校资产管理“放管服”工作的通知》（津财会〔2017〕184号）规定，</w:t>
      </w:r>
      <w:r>
        <w:rPr>
          <w:rFonts w:ascii="仿宋" w:hAnsi="仿宋" w:eastAsia="仿宋" w:cs="宋体"/>
          <w:color w:val="333333"/>
          <w:kern w:val="0"/>
          <w:sz w:val="28"/>
          <w:szCs w:val="28"/>
        </w:rPr>
        <w:t>除土地、房屋构筑物、车辆以及核销货币性资产损失以外的其他资产处置事项，一次性处置单位价值或批量价值（账面原值，下同）在500万元以下的，由</w:t>
      </w:r>
      <w:r>
        <w:rPr>
          <w:rFonts w:hint="eastAsia" w:ascii="仿宋" w:hAnsi="仿宋" w:eastAsia="仿宋" w:cs="宋体"/>
          <w:color w:val="333333"/>
          <w:kern w:val="0"/>
          <w:sz w:val="28"/>
          <w:szCs w:val="28"/>
        </w:rPr>
        <w:t>学校</w:t>
      </w:r>
      <w:r>
        <w:rPr>
          <w:rFonts w:ascii="仿宋" w:hAnsi="仿宋" w:eastAsia="仿宋" w:cs="宋体"/>
          <w:color w:val="333333"/>
          <w:kern w:val="0"/>
          <w:sz w:val="28"/>
          <w:szCs w:val="28"/>
        </w:rPr>
        <w:t>自行审批，并于10个工作日内将审批文件及相关资料报</w:t>
      </w:r>
      <w:r>
        <w:rPr>
          <w:rFonts w:hint="eastAsia" w:ascii="仿宋" w:hAnsi="仿宋" w:eastAsia="仿宋" w:cs="宋体"/>
          <w:color w:val="333333"/>
          <w:kern w:val="0"/>
          <w:sz w:val="28"/>
          <w:szCs w:val="28"/>
        </w:rPr>
        <w:t>市教委</w:t>
      </w:r>
      <w:r>
        <w:rPr>
          <w:rFonts w:ascii="仿宋" w:hAnsi="仿宋" w:eastAsia="仿宋" w:cs="宋体"/>
          <w:color w:val="333333"/>
          <w:kern w:val="0"/>
          <w:sz w:val="28"/>
          <w:szCs w:val="28"/>
        </w:rPr>
        <w:t>备案，</w:t>
      </w:r>
      <w:r>
        <w:rPr>
          <w:rFonts w:hint="eastAsia" w:ascii="仿宋" w:hAnsi="仿宋" w:eastAsia="仿宋" w:cs="宋体"/>
          <w:color w:val="333333"/>
          <w:kern w:val="0"/>
          <w:sz w:val="28"/>
          <w:szCs w:val="28"/>
        </w:rPr>
        <w:t>市教委</w:t>
      </w:r>
      <w:r>
        <w:rPr>
          <w:rFonts w:ascii="仿宋" w:hAnsi="仿宋" w:eastAsia="仿宋" w:cs="宋体"/>
          <w:color w:val="333333"/>
          <w:kern w:val="0"/>
          <w:sz w:val="28"/>
          <w:szCs w:val="28"/>
        </w:rPr>
        <w:t>汇总后报市财政局备案；一次性处置单位价值或批量价值在500万元（含500万元）至800万元的，由</w:t>
      </w:r>
      <w:r>
        <w:rPr>
          <w:rFonts w:hint="eastAsia" w:ascii="仿宋" w:hAnsi="仿宋" w:eastAsia="仿宋" w:cs="宋体"/>
          <w:color w:val="333333"/>
          <w:kern w:val="0"/>
          <w:sz w:val="28"/>
          <w:szCs w:val="28"/>
        </w:rPr>
        <w:t>学校</w:t>
      </w:r>
      <w:r>
        <w:rPr>
          <w:rFonts w:ascii="仿宋" w:hAnsi="仿宋" w:eastAsia="仿宋" w:cs="宋体"/>
          <w:color w:val="333333"/>
          <w:kern w:val="0"/>
          <w:sz w:val="28"/>
          <w:szCs w:val="28"/>
        </w:rPr>
        <w:t>审核后报</w:t>
      </w:r>
      <w:r>
        <w:rPr>
          <w:rFonts w:hint="eastAsia" w:ascii="仿宋" w:hAnsi="仿宋" w:eastAsia="仿宋" w:cs="宋体"/>
          <w:color w:val="333333"/>
          <w:kern w:val="0"/>
          <w:sz w:val="28"/>
          <w:szCs w:val="28"/>
        </w:rPr>
        <w:t>市教委</w:t>
      </w:r>
      <w:r>
        <w:rPr>
          <w:rFonts w:ascii="仿宋" w:hAnsi="仿宋" w:eastAsia="仿宋" w:cs="宋体"/>
          <w:color w:val="333333"/>
          <w:kern w:val="0"/>
          <w:sz w:val="28"/>
          <w:szCs w:val="28"/>
        </w:rPr>
        <w:t>审批，</w:t>
      </w:r>
      <w:r>
        <w:rPr>
          <w:rFonts w:hint="eastAsia" w:ascii="仿宋" w:hAnsi="仿宋" w:eastAsia="仿宋" w:cs="宋体"/>
          <w:color w:val="333333"/>
          <w:kern w:val="0"/>
          <w:sz w:val="28"/>
          <w:szCs w:val="28"/>
        </w:rPr>
        <w:t>市教委</w:t>
      </w:r>
      <w:r>
        <w:rPr>
          <w:rFonts w:ascii="仿宋" w:hAnsi="仿宋" w:eastAsia="仿宋" w:cs="宋体"/>
          <w:color w:val="333333"/>
          <w:kern w:val="0"/>
          <w:sz w:val="28"/>
          <w:szCs w:val="28"/>
        </w:rPr>
        <w:t>审批后报市财政局备案；处置土地、房屋构筑物、车辆以及核销货币性资产损失，以及一次性处置单位价值或批量价值在800万元以上（含800万元）的，由</w:t>
      </w:r>
      <w:r>
        <w:rPr>
          <w:rFonts w:hint="eastAsia" w:ascii="仿宋" w:hAnsi="仿宋" w:eastAsia="仿宋" w:cs="宋体"/>
          <w:color w:val="333333"/>
          <w:kern w:val="0"/>
          <w:sz w:val="28"/>
          <w:szCs w:val="28"/>
        </w:rPr>
        <w:t>学</w:t>
      </w:r>
      <w:r>
        <w:rPr>
          <w:rFonts w:ascii="仿宋" w:hAnsi="仿宋" w:eastAsia="仿宋" w:cs="宋体"/>
          <w:color w:val="333333"/>
          <w:kern w:val="0"/>
          <w:sz w:val="28"/>
          <w:szCs w:val="28"/>
        </w:rPr>
        <w:t>校审核后报</w:t>
      </w:r>
      <w:r>
        <w:rPr>
          <w:rFonts w:hint="eastAsia" w:ascii="仿宋" w:hAnsi="仿宋" w:eastAsia="仿宋" w:cs="宋体"/>
          <w:color w:val="333333"/>
          <w:kern w:val="0"/>
          <w:sz w:val="28"/>
          <w:szCs w:val="28"/>
        </w:rPr>
        <w:t>市教委</w:t>
      </w:r>
      <w:r>
        <w:rPr>
          <w:rFonts w:ascii="仿宋" w:hAnsi="仿宋" w:eastAsia="仿宋" w:cs="宋体"/>
          <w:color w:val="333333"/>
          <w:kern w:val="0"/>
          <w:sz w:val="28"/>
          <w:szCs w:val="28"/>
        </w:rPr>
        <w:t>审核，</w:t>
      </w:r>
      <w:r>
        <w:rPr>
          <w:rFonts w:hint="eastAsia" w:ascii="仿宋" w:hAnsi="仿宋" w:eastAsia="仿宋" w:cs="宋体"/>
          <w:color w:val="333333"/>
          <w:kern w:val="0"/>
          <w:sz w:val="28"/>
          <w:szCs w:val="28"/>
        </w:rPr>
        <w:t>市教委</w:t>
      </w:r>
      <w:r>
        <w:rPr>
          <w:rFonts w:ascii="仿宋" w:hAnsi="仿宋" w:eastAsia="仿宋" w:cs="宋体"/>
          <w:color w:val="333333"/>
          <w:kern w:val="0"/>
          <w:sz w:val="28"/>
          <w:szCs w:val="28"/>
        </w:rPr>
        <w:t>审核后报市财政局审批。</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第七条  大学</w:t>
      </w:r>
      <w:r>
        <w:rPr>
          <w:rFonts w:hint="eastAsia" w:ascii="仿宋" w:hAnsi="仿宋" w:eastAsia="仿宋" w:cs="宋体"/>
          <w:color w:val="333333"/>
          <w:kern w:val="0"/>
          <w:sz w:val="28"/>
          <w:szCs w:val="28"/>
          <w:lang w:eastAsia="zh-CN"/>
        </w:rPr>
        <w:t>附属</w:t>
      </w:r>
      <w:r>
        <w:rPr>
          <w:rFonts w:hint="eastAsia" w:ascii="仿宋" w:hAnsi="仿宋" w:eastAsia="仿宋" w:cs="宋体"/>
          <w:color w:val="333333"/>
          <w:kern w:val="0"/>
          <w:sz w:val="28"/>
          <w:szCs w:val="28"/>
        </w:rPr>
        <w:t>医院资产处置</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（一）根据《通知》第二十二条相关规定，大学医院资产处置申报标准划分为：</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除土地、房屋及构筑物、车辆以及核销货币性资产损失外的其他资产处置事项，一次性处置单位价值或批量价值在40万元以下的，由单位自行审批，并与10个工作日内将审批文件及相关资料报市教委备案，市教委汇总后报市财政局备案；</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2、一次性处置单位价值或批量价值在40万元（含40万元）至100万元的，由单位审核后报市教委审批，市教委审批后报市财政局备案；</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3、处置土地、房屋及构筑物、车辆以及核销货币性资产损失，以及一次性处置单位价值或批量价值在100万元以上（含100万元）的，由单位审核后报市教委审核，市教委审核通过后报市财政局审批。</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（二）根据市教委有关要求，各大学医院资产处置需由学校对上报材料进行审核，并针对资产处置事项出具正式文件。大学医院需提供的材料包括：</w:t>
      </w:r>
    </w:p>
    <w:p>
      <w:pPr>
        <w:numPr>
          <w:ilvl w:val="0"/>
          <w:numId w:val="2"/>
        </w:numPr>
        <w:adjustRightInd w:val="0"/>
        <w:snapToGrid w:val="0"/>
        <w:spacing w:line="560" w:lineRule="exact"/>
        <w:ind w:left="993" w:hanging="433"/>
        <w:rPr>
          <w:rFonts w:ascii="仿宋" w:hAnsi="仿宋" w:eastAsia="仿宋" w:cs="宋体"/>
          <w:color w:val="333333"/>
          <w:kern w:val="0"/>
          <w:sz w:val="28"/>
          <w:szCs w:val="28"/>
        </w:rPr>
      </w:pPr>
      <w:r>
        <w:rPr>
          <w:rFonts w:hint="eastAsia" w:ascii="仿宋" w:hAnsi="仿宋" w:eastAsia="仿宋" w:cs="宋体"/>
          <w:color w:val="333333"/>
          <w:kern w:val="0"/>
          <w:sz w:val="28"/>
          <w:szCs w:val="28"/>
        </w:rPr>
        <w:t>资产处置的请示文件</w:t>
      </w:r>
    </w:p>
    <w:p>
      <w:pPr>
        <w:numPr>
          <w:ilvl w:val="0"/>
          <w:numId w:val="2"/>
        </w:numPr>
        <w:adjustRightInd w:val="0"/>
        <w:snapToGrid w:val="0"/>
        <w:spacing w:line="560" w:lineRule="exact"/>
        <w:ind w:left="993" w:hanging="433"/>
        <w:rPr>
          <w:rFonts w:ascii="仿宋" w:hAnsi="仿宋" w:eastAsia="仿宋" w:cs="宋体"/>
          <w:color w:val="333333"/>
          <w:kern w:val="0"/>
          <w:sz w:val="28"/>
          <w:szCs w:val="28"/>
        </w:rPr>
      </w:pPr>
      <w:r>
        <w:rPr>
          <w:rFonts w:hint="eastAsia" w:ascii="仿宋" w:hAnsi="仿宋" w:eastAsia="仿宋" w:cs="宋体"/>
          <w:color w:val="333333"/>
          <w:kern w:val="0"/>
          <w:sz w:val="28"/>
          <w:szCs w:val="28"/>
        </w:rPr>
        <w:t>院内“三重一大”会议（决议）纪要</w:t>
      </w:r>
    </w:p>
    <w:p>
      <w:pPr>
        <w:numPr>
          <w:ilvl w:val="0"/>
          <w:numId w:val="2"/>
        </w:numPr>
        <w:adjustRightInd w:val="0"/>
        <w:snapToGrid w:val="0"/>
        <w:spacing w:line="560" w:lineRule="exact"/>
        <w:ind w:left="993" w:hanging="433"/>
        <w:rPr>
          <w:rFonts w:ascii="仿宋" w:hAnsi="仿宋" w:eastAsia="仿宋" w:cs="宋体"/>
          <w:color w:val="333333"/>
          <w:kern w:val="0"/>
          <w:sz w:val="28"/>
          <w:szCs w:val="28"/>
        </w:rPr>
      </w:pPr>
      <w:r>
        <w:rPr>
          <w:rFonts w:hint="eastAsia" w:ascii="仿宋" w:hAnsi="仿宋" w:eastAsia="仿宋" w:cs="宋体"/>
          <w:color w:val="333333"/>
          <w:kern w:val="0"/>
          <w:sz w:val="28"/>
          <w:szCs w:val="28"/>
        </w:rPr>
        <w:t>内部审批手续</w:t>
      </w:r>
    </w:p>
    <w:p>
      <w:pPr>
        <w:numPr>
          <w:ilvl w:val="0"/>
          <w:numId w:val="2"/>
        </w:numPr>
        <w:adjustRightInd w:val="0"/>
        <w:snapToGrid w:val="0"/>
        <w:spacing w:line="560" w:lineRule="exact"/>
        <w:ind w:left="993" w:hanging="433"/>
        <w:rPr>
          <w:rFonts w:ascii="仿宋" w:hAnsi="仿宋" w:eastAsia="仿宋" w:cs="宋体"/>
          <w:color w:val="333333"/>
          <w:kern w:val="0"/>
          <w:sz w:val="28"/>
          <w:szCs w:val="28"/>
        </w:rPr>
      </w:pPr>
      <w:r>
        <w:rPr>
          <w:rFonts w:hint="eastAsia" w:ascii="仿宋" w:hAnsi="仿宋" w:eastAsia="仿宋" w:cs="宋体"/>
          <w:color w:val="333333"/>
          <w:kern w:val="0"/>
          <w:sz w:val="28"/>
          <w:szCs w:val="28"/>
        </w:rPr>
        <w:t>价值凭证及权属证明</w:t>
      </w:r>
    </w:p>
    <w:p>
      <w:pPr>
        <w:numPr>
          <w:ilvl w:val="0"/>
          <w:numId w:val="2"/>
        </w:numPr>
        <w:adjustRightInd w:val="0"/>
        <w:snapToGrid w:val="0"/>
        <w:spacing w:line="560" w:lineRule="exact"/>
        <w:ind w:left="993" w:hanging="433"/>
        <w:rPr>
          <w:rFonts w:ascii="仿宋" w:hAnsi="仿宋" w:eastAsia="仿宋" w:cs="宋体"/>
          <w:color w:val="333333"/>
          <w:kern w:val="0"/>
          <w:sz w:val="28"/>
          <w:szCs w:val="28"/>
        </w:rPr>
      </w:pPr>
      <w:r>
        <w:rPr>
          <w:rFonts w:hint="eastAsia" w:ascii="仿宋" w:hAnsi="仿宋" w:eastAsia="仿宋" w:cs="宋体"/>
          <w:color w:val="333333"/>
          <w:kern w:val="0"/>
          <w:sz w:val="28"/>
          <w:szCs w:val="28"/>
        </w:rPr>
        <w:t>资产管理信息系统打印的国有资产处置申请单据</w:t>
      </w:r>
    </w:p>
    <w:p>
      <w:pPr>
        <w:numPr>
          <w:ilvl w:val="0"/>
          <w:numId w:val="2"/>
        </w:numPr>
        <w:adjustRightInd w:val="0"/>
        <w:snapToGrid w:val="0"/>
        <w:spacing w:line="560" w:lineRule="exact"/>
        <w:ind w:left="993" w:hanging="433"/>
        <w:rPr>
          <w:rFonts w:ascii="仿宋" w:hAnsi="仿宋" w:eastAsia="仿宋" w:cs="宋体"/>
          <w:color w:val="333333"/>
          <w:kern w:val="0"/>
          <w:sz w:val="28"/>
          <w:szCs w:val="28"/>
        </w:rPr>
      </w:pPr>
      <w:r>
        <w:rPr>
          <w:rFonts w:hint="eastAsia" w:ascii="仿宋" w:hAnsi="仿宋" w:eastAsia="仿宋" w:cs="宋体"/>
          <w:color w:val="333333"/>
          <w:kern w:val="0"/>
          <w:sz w:val="28"/>
          <w:szCs w:val="28"/>
        </w:rPr>
        <w:t>需要提供的其他材料</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对属于国有资产报废、出售、出让、转让、无偿调拨（划转）、对外捐赠、资产置换、资产报损的，需提供的其他材料按照学校上述不同处置事项的规定执行。所有材料一式三份加盖单位公章后上报至学校</w:t>
      </w:r>
      <w:r>
        <w:rPr>
          <w:rFonts w:hint="eastAsia" w:ascii="仿宋" w:hAnsi="仿宋" w:eastAsia="仿宋" w:cs="宋体"/>
          <w:color w:val="333333"/>
          <w:kern w:val="0"/>
          <w:sz w:val="28"/>
          <w:szCs w:val="28"/>
          <w:lang w:eastAsia="zh-CN"/>
        </w:rPr>
        <w:t>国有</w:t>
      </w:r>
      <w:r>
        <w:rPr>
          <w:rFonts w:hint="eastAsia" w:ascii="仿宋" w:hAnsi="仿宋" w:eastAsia="仿宋" w:cs="宋体"/>
          <w:color w:val="333333"/>
          <w:kern w:val="0"/>
          <w:sz w:val="28"/>
          <w:szCs w:val="28"/>
        </w:rPr>
        <w:t>资产管理处，由</w:t>
      </w:r>
      <w:r>
        <w:rPr>
          <w:rFonts w:hint="eastAsia" w:ascii="仿宋" w:hAnsi="仿宋" w:eastAsia="仿宋" w:cs="宋体"/>
          <w:color w:val="333333"/>
          <w:kern w:val="0"/>
          <w:sz w:val="28"/>
          <w:szCs w:val="28"/>
          <w:lang w:eastAsia="zh-CN"/>
        </w:rPr>
        <w:t>学校国有</w:t>
      </w:r>
      <w:r>
        <w:rPr>
          <w:rFonts w:hint="eastAsia" w:ascii="仿宋" w:hAnsi="仿宋" w:eastAsia="仿宋" w:cs="宋体"/>
          <w:color w:val="333333"/>
          <w:kern w:val="0"/>
          <w:sz w:val="28"/>
          <w:szCs w:val="28"/>
        </w:rPr>
        <w:t>管理处对报送材料进行审核。医院报废资产总额为500万元以上（包含500万元）的，还需经学校“三重一大”会议审议。待出具正式文件后，由大学医院按照市教委有关要求，将学校出具的正式文件及其他相关材料报送至市教委审批（备案）。</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待上级主管部门对处置事项批复后，由各大学医院依据申请的处置类型对资产实物进行处置。如为资产报废，根据《市教委关于转发市机关事务管理局〈关于确定天津市公共机构废旧商品回收单位的通知〉的通知》（</w:t>
      </w:r>
      <w:r>
        <w:rPr>
          <w:rFonts w:ascii="仿宋" w:hAnsi="仿宋" w:eastAsia="仿宋" w:cs="宋体"/>
          <w:color w:val="333333"/>
          <w:kern w:val="0"/>
          <w:sz w:val="28"/>
          <w:szCs w:val="28"/>
        </w:rPr>
        <w:t>津教委后函〔2017〕</w:t>
      </w:r>
      <w:r>
        <w:rPr>
          <w:rFonts w:hint="eastAsia" w:ascii="仿宋" w:hAnsi="仿宋" w:eastAsia="仿宋" w:cs="宋体"/>
          <w:color w:val="333333"/>
          <w:kern w:val="0"/>
          <w:sz w:val="28"/>
          <w:szCs w:val="28"/>
        </w:rPr>
        <w:t>161</w:t>
      </w:r>
      <w:r>
        <w:rPr>
          <w:rFonts w:ascii="仿宋" w:hAnsi="仿宋" w:eastAsia="仿宋" w:cs="宋体"/>
          <w:color w:val="333333"/>
          <w:kern w:val="0"/>
          <w:sz w:val="28"/>
          <w:szCs w:val="28"/>
        </w:rPr>
        <w:t>号</w:t>
      </w:r>
      <w:r>
        <w:rPr>
          <w:rFonts w:hint="eastAsia" w:ascii="仿宋" w:hAnsi="仿宋" w:eastAsia="仿宋" w:cs="宋体"/>
          <w:color w:val="333333"/>
          <w:kern w:val="0"/>
          <w:sz w:val="28"/>
          <w:szCs w:val="28"/>
        </w:rPr>
        <w:t>）有关规定，</w:t>
      </w:r>
      <w:r>
        <w:rPr>
          <w:rFonts w:ascii="仿宋" w:hAnsi="仿宋" w:eastAsia="仿宋" w:cs="宋体"/>
          <w:color w:val="333333"/>
          <w:kern w:val="0"/>
          <w:sz w:val="28"/>
          <w:szCs w:val="28"/>
        </w:rPr>
        <w:t>使用“天津市公共机构废旧商品回收利用系统（APP）”</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由中标企业统一回收</w:t>
      </w:r>
      <w:r>
        <w:rPr>
          <w:rFonts w:hint="eastAsia" w:ascii="仿宋" w:hAnsi="仿宋" w:eastAsia="仿宋" w:cs="宋体"/>
          <w:color w:val="333333"/>
          <w:kern w:val="0"/>
          <w:sz w:val="28"/>
          <w:szCs w:val="28"/>
        </w:rPr>
        <w:t>。各大学医院完成资产处置及财务、资产销账工作，处置后残值收入需按照《通知》规定上缴至市财政局。</w:t>
      </w:r>
    </w:p>
    <w:p>
      <w:pPr>
        <w:adjustRightInd w:val="0"/>
        <w:snapToGrid w:val="0"/>
        <w:spacing w:line="56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第八条  对违反本实施细则，擅自处置固定资产的单位和个人，均按违反财经纪律处理；触及法律的要移送司法部门追究刑事责任。</w:t>
      </w:r>
    </w:p>
    <w:p>
      <w:pPr>
        <w:adjustRightInd w:val="0"/>
        <w:snapToGrid w:val="0"/>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w:t>
      </w:r>
      <w:r>
        <w:rPr>
          <w:rFonts w:hint="eastAsia" w:ascii="仿宋" w:hAnsi="仿宋" w:eastAsia="仿宋" w:cs="宋体"/>
          <w:color w:val="333333"/>
          <w:kern w:val="0"/>
          <w:sz w:val="28"/>
          <w:szCs w:val="28"/>
          <w:lang w:eastAsia="zh-CN"/>
        </w:rPr>
        <w:t>九</w:t>
      </w:r>
      <w:r>
        <w:rPr>
          <w:rFonts w:hint="eastAsia" w:ascii="仿宋" w:hAnsi="仿宋" w:eastAsia="仿宋" w:cs="宋体"/>
          <w:color w:val="333333"/>
          <w:kern w:val="0"/>
          <w:sz w:val="28"/>
          <w:szCs w:val="28"/>
        </w:rPr>
        <w:t>条  大学医院应参照本实施细则制定本单位相关管理规定。</w:t>
      </w:r>
    </w:p>
    <w:p>
      <w:pPr>
        <w:adjustRightInd w:val="0"/>
        <w:snapToGrid w:val="0"/>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第十条  本实施细则由</w:t>
      </w:r>
      <w:r>
        <w:rPr>
          <w:rFonts w:hint="eastAsia" w:ascii="仿宋" w:hAnsi="仿宋" w:eastAsia="仿宋" w:cs="宋体"/>
          <w:color w:val="333333"/>
          <w:kern w:val="0"/>
          <w:sz w:val="28"/>
          <w:szCs w:val="28"/>
          <w:lang w:eastAsia="zh-CN"/>
        </w:rPr>
        <w:t>国有</w:t>
      </w:r>
      <w:r>
        <w:rPr>
          <w:rFonts w:hint="eastAsia" w:ascii="仿宋" w:hAnsi="仿宋" w:eastAsia="仿宋" w:cs="宋体"/>
          <w:color w:val="333333"/>
          <w:kern w:val="0"/>
          <w:sz w:val="28"/>
          <w:szCs w:val="28"/>
        </w:rPr>
        <w:t>资产管理处负责解释。</w:t>
      </w:r>
    </w:p>
    <w:p>
      <w:pPr>
        <w:adjustRightInd w:val="0"/>
        <w:snapToGrid w:val="0"/>
        <w:spacing w:line="500" w:lineRule="exact"/>
        <w:ind w:firstLine="560" w:firstLineChars="200"/>
        <w:rPr>
          <w:rFonts w:ascii="仿宋" w:hAnsi="仿宋" w:eastAsia="仿宋" w:cs="宋体"/>
          <w:kern w:val="0"/>
          <w:sz w:val="28"/>
          <w:szCs w:val="28"/>
        </w:rPr>
      </w:pPr>
      <w:r>
        <w:rPr>
          <w:rFonts w:hint="eastAsia" w:ascii="仿宋" w:hAnsi="仿宋" w:eastAsia="仿宋" w:cs="宋体"/>
          <w:color w:val="333333"/>
          <w:kern w:val="0"/>
          <w:sz w:val="28"/>
          <w:szCs w:val="28"/>
        </w:rPr>
        <w:t>第十</w:t>
      </w:r>
      <w:r>
        <w:rPr>
          <w:rFonts w:hint="eastAsia" w:ascii="仿宋" w:hAnsi="仿宋" w:eastAsia="仿宋" w:cs="宋体"/>
          <w:color w:val="333333"/>
          <w:kern w:val="0"/>
          <w:sz w:val="28"/>
          <w:szCs w:val="28"/>
          <w:lang w:eastAsia="zh-CN"/>
        </w:rPr>
        <w:t>一</w:t>
      </w:r>
      <w:bookmarkStart w:id="0" w:name="_GoBack"/>
      <w:bookmarkEnd w:id="0"/>
      <w:r>
        <w:rPr>
          <w:rFonts w:hint="eastAsia" w:ascii="仿宋" w:hAnsi="仿宋" w:eastAsia="仿宋" w:cs="宋体"/>
          <w:color w:val="333333"/>
          <w:kern w:val="0"/>
          <w:sz w:val="28"/>
          <w:szCs w:val="28"/>
        </w:rPr>
        <w:t>条  本实施细则自发布之日起施行。</w:t>
      </w:r>
    </w:p>
    <w:p>
      <w:pPr>
        <w:adjustRightInd w:val="0"/>
        <w:snapToGrid w:val="0"/>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附件：固定资产报废审批标准</w:t>
      </w:r>
    </w:p>
    <w:p>
      <w:pPr>
        <w:widowControl/>
        <w:adjustRightInd w:val="0"/>
        <w:snapToGrid w:val="0"/>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附件</w:t>
      </w:r>
    </w:p>
    <w:p>
      <w:pPr>
        <w:adjustRightInd w:val="0"/>
        <w:snapToGrid w:val="0"/>
        <w:spacing w:line="500" w:lineRule="exact"/>
        <w:jc w:val="center"/>
        <w:rPr>
          <w:rFonts w:ascii="仿宋" w:hAnsi="仿宋" w:eastAsia="仿宋" w:cs="宋体"/>
          <w:kern w:val="0"/>
          <w:sz w:val="32"/>
          <w:szCs w:val="32"/>
        </w:rPr>
      </w:pPr>
      <w:r>
        <w:rPr>
          <w:rFonts w:hint="eastAsia" w:ascii="仿宋" w:hAnsi="仿宋" w:eastAsia="仿宋" w:cs="宋体"/>
          <w:kern w:val="0"/>
          <w:sz w:val="32"/>
          <w:szCs w:val="32"/>
        </w:rPr>
        <w:t>固定资产报废审批标准</w:t>
      </w:r>
    </w:p>
    <w:p>
      <w:pPr>
        <w:adjustRightInd w:val="0"/>
        <w:snapToGrid w:val="0"/>
        <w:spacing w:line="500" w:lineRule="exact"/>
        <w:jc w:val="center"/>
        <w:rPr>
          <w:rFonts w:ascii="宋体" w:hAnsi="宋体" w:cs="宋体"/>
          <w:b/>
          <w:kern w:val="0"/>
          <w:sz w:val="32"/>
          <w:szCs w:val="32"/>
        </w:rPr>
      </w:pP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一、仪器设备类</w:t>
      </w:r>
      <w:r>
        <w:rPr>
          <w:rFonts w:ascii="仿宋" w:hAnsi="仿宋" w:eastAsia="仿宋" w:cs="宋体"/>
          <w:color w:val="333333"/>
          <w:kern w:val="0"/>
          <w:sz w:val="28"/>
          <w:szCs w:val="28"/>
        </w:rPr>
        <w:t>凡符合下列条件之一，可申请报废</w:t>
      </w:r>
      <w:r>
        <w:rPr>
          <w:rFonts w:hint="eastAsia" w:ascii="仿宋" w:hAnsi="仿宋" w:eastAsia="仿宋" w:cs="宋体"/>
          <w:color w:val="333333"/>
          <w:kern w:val="0"/>
          <w:sz w:val="28"/>
          <w:szCs w:val="28"/>
        </w:rPr>
        <w:t>：</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w:t>
      </w:r>
      <w:r>
        <w:rPr>
          <w:rFonts w:ascii="仿宋" w:hAnsi="仿宋" w:eastAsia="仿宋" w:cs="宋体"/>
          <w:color w:val="333333"/>
          <w:kern w:val="0"/>
          <w:sz w:val="28"/>
          <w:szCs w:val="28"/>
        </w:rPr>
        <w:t>超过</w:t>
      </w:r>
      <w:r>
        <w:rPr>
          <w:rFonts w:hint="eastAsia" w:ascii="仿宋" w:hAnsi="仿宋" w:eastAsia="仿宋" w:cs="宋体"/>
          <w:color w:val="333333"/>
          <w:kern w:val="0"/>
          <w:sz w:val="28"/>
          <w:szCs w:val="28"/>
        </w:rPr>
        <w:t>使用</w:t>
      </w:r>
      <w:r>
        <w:rPr>
          <w:rFonts w:ascii="仿宋" w:hAnsi="仿宋" w:eastAsia="仿宋" w:cs="宋体"/>
          <w:color w:val="333333"/>
          <w:kern w:val="0"/>
          <w:sz w:val="28"/>
          <w:szCs w:val="28"/>
        </w:rPr>
        <w:t>期限，主要部件或结构已经损坏，没有修理价值的；</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w:t>
      </w:r>
      <w:r>
        <w:rPr>
          <w:rFonts w:ascii="仿宋" w:hAnsi="仿宋" w:eastAsia="仿宋" w:cs="宋体"/>
          <w:color w:val="333333"/>
          <w:kern w:val="0"/>
          <w:sz w:val="28"/>
          <w:szCs w:val="28"/>
        </w:rPr>
        <w:t>经技术鉴定，属技术落后、技术性能指标达不到标准的；</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w:t>
      </w:r>
      <w:r>
        <w:rPr>
          <w:rFonts w:ascii="仿宋" w:hAnsi="仿宋" w:eastAsia="仿宋" w:cs="宋体"/>
          <w:color w:val="333333"/>
          <w:kern w:val="0"/>
          <w:sz w:val="28"/>
          <w:szCs w:val="28"/>
        </w:rPr>
        <w:t>因各种原因造成</w:t>
      </w:r>
      <w:r>
        <w:rPr>
          <w:rFonts w:hint="eastAsia" w:ascii="仿宋" w:hAnsi="仿宋" w:eastAsia="仿宋" w:cs="宋体"/>
          <w:color w:val="333333"/>
          <w:kern w:val="0"/>
          <w:sz w:val="28"/>
          <w:szCs w:val="28"/>
        </w:rPr>
        <w:t>主要零部件</w:t>
      </w:r>
      <w:r>
        <w:rPr>
          <w:rFonts w:ascii="仿宋" w:hAnsi="仿宋" w:eastAsia="仿宋" w:cs="宋体"/>
          <w:color w:val="333333"/>
          <w:kern w:val="0"/>
          <w:sz w:val="28"/>
          <w:szCs w:val="28"/>
        </w:rPr>
        <w:t>损坏</w:t>
      </w:r>
      <w:r>
        <w:rPr>
          <w:rFonts w:hint="eastAsia" w:ascii="仿宋" w:hAnsi="仿宋" w:eastAsia="仿宋" w:cs="宋体"/>
          <w:color w:val="333333"/>
          <w:kern w:val="0"/>
          <w:sz w:val="28"/>
          <w:szCs w:val="28"/>
        </w:rPr>
        <w:t>，严重损坏，无法修复，或损坏部件现已没有配件，或维修费用过高；</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（四）</w:t>
      </w:r>
      <w:r>
        <w:rPr>
          <w:rFonts w:ascii="仿宋" w:hAnsi="仿宋" w:eastAsia="仿宋" w:cs="宋体"/>
          <w:color w:val="333333"/>
          <w:kern w:val="0"/>
          <w:sz w:val="28"/>
          <w:szCs w:val="28"/>
        </w:rPr>
        <w:t>不能迁移的仪器设备，因实验用房的改建、搬迁而必须拆毁的；</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（五）</w:t>
      </w:r>
      <w:r>
        <w:rPr>
          <w:rFonts w:ascii="仿宋" w:hAnsi="仿宋" w:eastAsia="仿宋" w:cs="宋体"/>
          <w:color w:val="333333"/>
          <w:kern w:val="0"/>
          <w:sz w:val="28"/>
          <w:szCs w:val="28"/>
        </w:rPr>
        <w:t>凡上级主管部门有文件规定，属淘汰或不准继续使用的；</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（六）</w:t>
      </w:r>
      <w:r>
        <w:rPr>
          <w:rFonts w:ascii="仿宋" w:hAnsi="仿宋" w:eastAsia="仿宋" w:cs="宋体"/>
          <w:color w:val="333333"/>
          <w:kern w:val="0"/>
          <w:sz w:val="28"/>
          <w:szCs w:val="28"/>
        </w:rPr>
        <w:t>因各种原因造成的非正常损失等。</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其中，通用办公设备的使用年限规定如下：</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1、电脑（台式、笔记本电脑）、打印机（包括一体机）、中高速复印机、传真机、扫描仪、碎纸机，使用年限5年以上，其中高速复印机复印30万张以上可申请报废；</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2、照相机、摄像机、投影仪，使用年限8年以上；</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3、电视机、空调、电话机，使用年限10年以上</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二、家具类凡符合下列任一条款，可申请报废：</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（一）办公桌椅、沙发（含茶几）、桌前椅、折叠椅、书柜、文件柜、保密柜、更衣柜、茶水柜、会议桌、会议椅：使用年限10年以上，且磨损严重；</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（二）质量差，维修率高，无维修价值；</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（三）长期积压，不能调配使用；</w:t>
      </w:r>
    </w:p>
    <w:p>
      <w:pPr>
        <w:spacing w:line="500" w:lineRule="exac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（四）不可抗力或自然灾害等原因造成损毁不能修复。</w:t>
      </w:r>
    </w:p>
    <w:p>
      <w:pPr>
        <w:spacing w:line="500" w:lineRule="exact"/>
        <w:ind w:firstLine="560" w:firstLineChars="200"/>
        <w:rPr>
          <w:rFonts w:ascii="仿宋" w:hAnsi="仿宋" w:eastAsia="仿宋" w:cs="宋体"/>
          <w:color w:val="333333"/>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6C7"/>
    <w:multiLevelType w:val="multilevel"/>
    <w:tmpl w:val="159066C7"/>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1">
    <w:nsid w:val="30097C0C"/>
    <w:multiLevelType w:val="multilevel"/>
    <w:tmpl w:val="30097C0C"/>
    <w:lvl w:ilvl="0" w:tentative="0">
      <w:start w:val="1"/>
      <w:numFmt w:val="decimal"/>
      <w:lvlText w:val="%1、"/>
      <w:lvlJc w:val="left"/>
      <w:pPr>
        <w:ind w:left="1295" w:hanging="735"/>
      </w:pPr>
      <w:rPr>
        <w:rFonts w:ascii="仿宋" w:hAnsi="仿宋" w:eastAsia="仿宋" w:cs="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A70"/>
    <w:rsid w:val="00017F8A"/>
    <w:rsid w:val="00052A70"/>
    <w:rsid w:val="00086BAE"/>
    <w:rsid w:val="000A11D9"/>
    <w:rsid w:val="000C77A6"/>
    <w:rsid w:val="001438EC"/>
    <w:rsid w:val="001823DC"/>
    <w:rsid w:val="0019360A"/>
    <w:rsid w:val="001A0F00"/>
    <w:rsid w:val="001A19AD"/>
    <w:rsid w:val="001B282E"/>
    <w:rsid w:val="001D0440"/>
    <w:rsid w:val="001E339D"/>
    <w:rsid w:val="002907A5"/>
    <w:rsid w:val="002F0EBE"/>
    <w:rsid w:val="003354AD"/>
    <w:rsid w:val="0037429C"/>
    <w:rsid w:val="003B2201"/>
    <w:rsid w:val="004430BD"/>
    <w:rsid w:val="004633D5"/>
    <w:rsid w:val="00481EEC"/>
    <w:rsid w:val="004A5843"/>
    <w:rsid w:val="004A7F2A"/>
    <w:rsid w:val="004D1568"/>
    <w:rsid w:val="00575914"/>
    <w:rsid w:val="00593260"/>
    <w:rsid w:val="006100FA"/>
    <w:rsid w:val="00623398"/>
    <w:rsid w:val="006263FC"/>
    <w:rsid w:val="006B5C0B"/>
    <w:rsid w:val="00783324"/>
    <w:rsid w:val="007A0488"/>
    <w:rsid w:val="007A2C1C"/>
    <w:rsid w:val="0081467F"/>
    <w:rsid w:val="00863553"/>
    <w:rsid w:val="0089349A"/>
    <w:rsid w:val="00897638"/>
    <w:rsid w:val="0091310F"/>
    <w:rsid w:val="00A0492A"/>
    <w:rsid w:val="00A23756"/>
    <w:rsid w:val="00AE4C7B"/>
    <w:rsid w:val="00B25BB1"/>
    <w:rsid w:val="00B402AE"/>
    <w:rsid w:val="00B5129B"/>
    <w:rsid w:val="00B72771"/>
    <w:rsid w:val="00BA4673"/>
    <w:rsid w:val="00BD7056"/>
    <w:rsid w:val="00C52492"/>
    <w:rsid w:val="00C72945"/>
    <w:rsid w:val="00CB080C"/>
    <w:rsid w:val="00CD287F"/>
    <w:rsid w:val="00CD5E85"/>
    <w:rsid w:val="00DB7318"/>
    <w:rsid w:val="00DE6AFB"/>
    <w:rsid w:val="00E32E81"/>
    <w:rsid w:val="00E935B8"/>
    <w:rsid w:val="00ED7FA6"/>
    <w:rsid w:val="00EE78FB"/>
    <w:rsid w:val="00F43B23"/>
    <w:rsid w:val="00FB4782"/>
    <w:rsid w:val="00FF0F33"/>
    <w:rsid w:val="20B42F50"/>
    <w:rsid w:val="4A925A15"/>
    <w:rsid w:val="4DB22D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uiPriority w:val="99"/>
    <w:rPr>
      <w:rFonts w:ascii="Calibri" w:hAnsi="Calibri" w:eastAsia="宋体" w:cs="Times New Roman"/>
      <w:sz w:val="18"/>
      <w:szCs w:val="18"/>
    </w:rPr>
  </w:style>
  <w:style w:type="character" w:customStyle="1" w:styleId="9">
    <w:name w:val="页脚 Char"/>
    <w:basedOn w:val="7"/>
    <w:link w:val="3"/>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3E498-B91B-4891-BDA2-C3E2A0C4EA4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855</Words>
  <Characters>4875</Characters>
  <Lines>40</Lines>
  <Paragraphs>11</Paragraphs>
  <TotalTime>92</TotalTime>
  <ScaleCrop>false</ScaleCrop>
  <LinksUpToDate>false</LinksUpToDate>
  <CharactersWithSpaces>5719</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2019-01-07T00:48:00Z</dcterms:created>
  <dc:creator>DELL</dc:creator>
  <cp:lastModifiedBy>Dell</cp:lastModifiedBy>
  <cp:lastPrinted>2019-09-19T06:43:00Z</cp:lastPrinted>
  <dcterms:modified xsi:type="dcterms:W3CDTF">2019-10-09T03:03:06Z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